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"Российский аукционный дом"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Губайдуллина Рита Фаритовна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РАД-362296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15 февраля 2024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176777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31.01.2024 г. 10:00:00 - 21.02.2024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"Российский аукционный дом"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Автобус класса А ИМЯ М-3006, 2012 года выпуска, идентификационный номер (VIN) Z9S30065BCA000604, № кузова Z6FXXXESFXCA18547, двигатель № CVRC CA18547, цвет – белый. Залог в пользу Индейкина В.Е.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198 302 рубля 26 копеек (Сто девяносто восемь тысяч триста два рубля 26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15.02.2024 14:02:55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07.02.2024 - 14.02.2024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Кишкис Александр Георгиевич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421810780379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340099-ИД</w:t>
            </w:r>
            <w:r w:rsidRPr="001918A4" w:rsidR="00532368">
              <w:rPr>
                <w:sz w:val="20"/>
                <w:szCs w:val="20"/>
                <w:lang w:val="en-US"/>
              </w:rPr>
              <w:t>, 14.02.2024 г. в 13:50:53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07.02.2024 - 14.02.2024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Кишкис Александр Георгиевич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421810780379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Кишкис Александр Георгиевич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340099-ИД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14.02.2024 г. в 13:50:53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07.02.2024 - 14.02.2024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